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00FD77B" w:rsidRDefault="700FD77B" w:rsidP="700FD77B">
      <w:pPr>
        <w:pStyle w:val="Heading2"/>
      </w:pPr>
      <w:r w:rsidRPr="700FD77B">
        <w:rPr>
          <w:rFonts w:ascii="Times New Roman" w:eastAsia="Times New Roman" w:hAnsi="Times New Roman" w:cs="Times New Roman"/>
          <w:color w:val="000080"/>
        </w:rPr>
        <w:t>Charter of the Ada High-Integrity Rapporteur Group (HRG)</w:t>
      </w:r>
    </w:p>
    <w:p w:rsidR="700FD77B" w:rsidRDefault="700FD77B" w:rsidP="700FD77B">
      <w:pPr>
        <w:rPr>
          <w:rFonts w:ascii="Times New Roman" w:eastAsia="Times New Roman" w:hAnsi="Times New Roman" w:cs="Times New Roman"/>
          <w:color w:val="000080"/>
        </w:rPr>
      </w:pPr>
    </w:p>
    <w:p w:rsidR="00065422" w:rsidRDefault="00065422" w:rsidP="700FD77B">
      <w:pPr>
        <w:rPr>
          <w:rFonts w:ascii="Times New Roman" w:eastAsia="Times New Roman" w:hAnsi="Times New Roman" w:cs="Times New Roman"/>
          <w:color w:val="000080"/>
        </w:rPr>
      </w:pPr>
      <w:r>
        <w:rPr>
          <w:rFonts w:ascii="Times New Roman" w:eastAsia="Times New Roman" w:hAnsi="Times New Roman" w:cs="Times New Roman"/>
          <w:color w:val="000080"/>
        </w:rPr>
        <w:t>High integrity software is software that must be trusted to work dependably in some critical function, and whose failure to do so may have catastrophic results, such as serious injury, loss of life or property, business failure or breach of security.</w:t>
      </w:r>
      <w:r>
        <w:rPr>
          <w:rStyle w:val="FootnoteReference"/>
          <w:rFonts w:ascii="Times New Roman" w:eastAsia="Times New Roman" w:hAnsi="Times New Roman" w:cs="Times New Roman"/>
          <w:color w:val="000080"/>
        </w:rPr>
        <w:footnoteReference w:id="1"/>
      </w:r>
      <w:r w:rsidR="006C1F63">
        <w:rPr>
          <w:rFonts w:ascii="Times New Roman" w:eastAsia="Times New Roman" w:hAnsi="Times New Roman" w:cs="Times New Roman"/>
          <w:color w:val="000080"/>
        </w:rPr>
        <w:t xml:space="preserve"> The Ada Programming Language is ideally suited to develop high integrity software.  </w:t>
      </w:r>
    </w:p>
    <w:p w:rsidR="700FD77B" w:rsidRDefault="700FD77B">
      <w:r w:rsidRPr="700FD77B">
        <w:rPr>
          <w:rFonts w:ascii="Times New Roman" w:eastAsia="Times New Roman" w:hAnsi="Times New Roman" w:cs="Times New Roman"/>
          <w:color w:val="000080"/>
        </w:rPr>
        <w:t>The HRG will synthesize the essential requirements of standards for high integrity applications which have a bearing on Ada and its supporting tools. Guidance will be developed for users, implementers, evaluators and certifiers. The guidance produced will be in a form suitable for reference in procurement.</w:t>
      </w:r>
    </w:p>
    <w:p w:rsidR="700FD77B" w:rsidRDefault="006F430D">
      <w:r>
        <w:rPr>
          <w:rFonts w:ascii="Times New Roman" w:eastAsia="Times New Roman" w:hAnsi="Times New Roman" w:cs="Times New Roman"/>
          <w:color w:val="000080"/>
        </w:rPr>
        <w:t xml:space="preserve">Examples </w:t>
      </w:r>
      <w:proofErr w:type="gramStart"/>
      <w:r>
        <w:rPr>
          <w:rFonts w:ascii="Times New Roman" w:eastAsia="Times New Roman" w:hAnsi="Times New Roman" w:cs="Times New Roman"/>
          <w:color w:val="000080"/>
        </w:rPr>
        <w:t>of  high</w:t>
      </w:r>
      <w:proofErr w:type="gramEnd"/>
      <w:r>
        <w:rPr>
          <w:rFonts w:ascii="Times New Roman" w:eastAsia="Times New Roman" w:hAnsi="Times New Roman" w:cs="Times New Roman"/>
          <w:color w:val="000080"/>
        </w:rPr>
        <w:t xml:space="preserve">-integrity </w:t>
      </w:r>
      <w:r w:rsidR="700FD77B" w:rsidRPr="700FD77B">
        <w:rPr>
          <w:rFonts w:ascii="Times New Roman" w:eastAsia="Times New Roman" w:hAnsi="Times New Roman" w:cs="Times New Roman"/>
          <w:color w:val="000080"/>
        </w:rPr>
        <w:t xml:space="preserve">standards to be considered </w:t>
      </w:r>
      <w:r w:rsidR="006C1F63">
        <w:rPr>
          <w:rFonts w:ascii="Times New Roman" w:eastAsia="Times New Roman" w:hAnsi="Times New Roman" w:cs="Times New Roman"/>
          <w:color w:val="000080"/>
        </w:rPr>
        <w:t>include</w:t>
      </w:r>
      <w:r>
        <w:rPr>
          <w:rStyle w:val="FootnoteReference"/>
          <w:rFonts w:ascii="Times New Roman" w:eastAsia="Times New Roman" w:hAnsi="Times New Roman" w:cs="Times New Roman"/>
          <w:color w:val="000080"/>
        </w:rPr>
        <w:footnoteReference w:id="2"/>
      </w:r>
      <w:r w:rsidR="700FD77B" w:rsidRPr="700FD77B">
        <w:rPr>
          <w:rFonts w:ascii="Times New Roman" w:eastAsia="Times New Roman" w:hAnsi="Times New Roman" w:cs="Times New Roman"/>
          <w:color w:val="000080"/>
        </w:rPr>
        <w:t>:</w:t>
      </w:r>
    </w:p>
    <w:p w:rsidR="700FD77B" w:rsidRPr="006C1F63" w:rsidRDefault="002432A5" w:rsidP="3DDC111E">
      <w:pPr>
        <w:pStyle w:val="ListParagraph"/>
        <w:numPr>
          <w:ilvl w:val="0"/>
          <w:numId w:val="1"/>
        </w:numPr>
      </w:pPr>
      <w:r>
        <w:rPr>
          <w:rFonts w:ascii="Times New Roman" w:eastAsia="Times New Roman" w:hAnsi="Times New Roman" w:cs="Times New Roman"/>
          <w:color w:val="000080"/>
        </w:rPr>
        <w:t xml:space="preserve">RTCA </w:t>
      </w:r>
      <w:r w:rsidR="3DDC111E" w:rsidRPr="3DDC111E">
        <w:rPr>
          <w:rFonts w:ascii="Times New Roman" w:eastAsia="Times New Roman" w:hAnsi="Times New Roman" w:cs="Times New Roman"/>
          <w:color w:val="000080"/>
        </w:rPr>
        <w:t>DO-178C</w:t>
      </w:r>
      <w:r>
        <w:rPr>
          <w:rFonts w:ascii="Times New Roman" w:eastAsia="Times New Roman" w:hAnsi="Times New Roman" w:cs="Times New Roman"/>
          <w:color w:val="000080"/>
        </w:rPr>
        <w:t>/ED-12 C</w:t>
      </w:r>
      <w:r w:rsidR="3DDC111E" w:rsidRPr="3DDC111E">
        <w:rPr>
          <w:rFonts w:ascii="Times New Roman" w:eastAsia="Times New Roman" w:hAnsi="Times New Roman" w:cs="Times New Roman"/>
          <w:color w:val="000080"/>
        </w:rPr>
        <w:t xml:space="preserve"> </w:t>
      </w:r>
      <w:r w:rsidR="006C1F63">
        <w:rPr>
          <w:rFonts w:ascii="Times New Roman" w:eastAsia="Times New Roman" w:hAnsi="Times New Roman" w:cs="Times New Roman"/>
          <w:color w:val="000080"/>
        </w:rPr>
        <w:t>Software Considerations for Airborne Systems a</w:t>
      </w:r>
      <w:r>
        <w:rPr>
          <w:rFonts w:ascii="Times New Roman" w:eastAsia="Times New Roman" w:hAnsi="Times New Roman" w:cs="Times New Roman"/>
          <w:color w:val="000080"/>
        </w:rPr>
        <w:t>nd Equipment Certification, 2012</w:t>
      </w:r>
      <w:r w:rsidR="006C1F63">
        <w:rPr>
          <w:rFonts w:ascii="Times New Roman" w:eastAsia="Times New Roman" w:hAnsi="Times New Roman" w:cs="Times New Roman"/>
          <w:color w:val="000080"/>
        </w:rPr>
        <w:t xml:space="preserve"> </w:t>
      </w:r>
      <w:r w:rsidR="3DDC111E" w:rsidRPr="3DDC111E">
        <w:rPr>
          <w:rFonts w:ascii="Times New Roman" w:eastAsia="Times New Roman" w:hAnsi="Times New Roman" w:cs="Times New Roman"/>
          <w:color w:val="000080"/>
        </w:rPr>
        <w:t>(Civil avionics)</w:t>
      </w:r>
    </w:p>
    <w:p w:rsidR="006C1F63" w:rsidRPr="002432A5" w:rsidRDefault="002432A5" w:rsidP="3DDC111E">
      <w:pPr>
        <w:pStyle w:val="ListParagraph"/>
        <w:numPr>
          <w:ilvl w:val="0"/>
          <w:numId w:val="1"/>
        </w:numPr>
      </w:pPr>
      <w:r>
        <w:rPr>
          <w:rFonts w:ascii="Times New Roman" w:eastAsia="Times New Roman" w:hAnsi="Times New Roman" w:cs="Times New Roman"/>
          <w:color w:val="000080"/>
        </w:rPr>
        <w:t>IEC 62304 Medical device software – Software life cycle processes, 2015 (Medical devices)</w:t>
      </w:r>
    </w:p>
    <w:p w:rsidR="00576A88" w:rsidRPr="00576A88" w:rsidRDefault="00576A88" w:rsidP="00576A88">
      <w:pPr>
        <w:pStyle w:val="ListParagraph"/>
        <w:numPr>
          <w:ilvl w:val="0"/>
          <w:numId w:val="1"/>
        </w:numPr>
      </w:pPr>
      <w:r>
        <w:rPr>
          <w:rFonts w:ascii="Times New Roman" w:eastAsia="Times New Roman" w:hAnsi="Times New Roman" w:cs="Times New Roman"/>
          <w:color w:val="000080"/>
        </w:rPr>
        <w:t>IEC 61508 Functional safety  of electrical/electronic/programmable electronic safety-related systems, 2010 (All systems)</w:t>
      </w:r>
    </w:p>
    <w:p w:rsidR="00576A88" w:rsidRDefault="00576A88" w:rsidP="3DDC111E">
      <w:pPr>
        <w:pStyle w:val="ListParagraph"/>
        <w:numPr>
          <w:ilvl w:val="0"/>
          <w:numId w:val="1"/>
        </w:numPr>
      </w:pPr>
      <w:r>
        <w:rPr>
          <w:rFonts w:ascii="Times New Roman" w:eastAsia="Times New Roman" w:hAnsi="Times New Roman" w:cs="Times New Roman"/>
          <w:color w:val="000080"/>
        </w:rPr>
        <w:t>IEC 61511 Functional safety – safety instrumented systems for process industry sector, 2016 (Process Control)</w:t>
      </w:r>
    </w:p>
    <w:p w:rsidR="00576A88" w:rsidRDefault="00576A88" w:rsidP="00576A88">
      <w:pPr>
        <w:pStyle w:val="ListParagraph"/>
        <w:numPr>
          <w:ilvl w:val="0"/>
          <w:numId w:val="1"/>
        </w:numPr>
      </w:pPr>
      <w:r>
        <w:rPr>
          <w:rFonts w:ascii="Times New Roman" w:eastAsia="Times New Roman" w:hAnsi="Times New Roman" w:cs="Times New Roman"/>
          <w:color w:val="000080"/>
        </w:rPr>
        <w:t>IEC 61513 Nuclear power plants – Instrumentation and control important to safety – General requirements for systems, 2011 (Nuclear power plants)</w:t>
      </w:r>
    </w:p>
    <w:p w:rsidR="700FD77B" w:rsidRPr="00A778F2" w:rsidRDefault="006F430D" w:rsidP="700FD77B">
      <w:pPr>
        <w:pStyle w:val="ListParagraph"/>
        <w:numPr>
          <w:ilvl w:val="0"/>
          <w:numId w:val="1"/>
        </w:numPr>
      </w:pPr>
      <w:r>
        <w:rPr>
          <w:rFonts w:ascii="Times New Roman" w:eastAsia="Times New Roman" w:hAnsi="Times New Roman" w:cs="Times New Roman"/>
          <w:color w:val="000080"/>
        </w:rPr>
        <w:t>DEFSTAN 00-56, Defense Stan</w:t>
      </w:r>
      <w:r w:rsidR="00A778F2">
        <w:rPr>
          <w:rFonts w:ascii="Times New Roman" w:eastAsia="Times New Roman" w:hAnsi="Times New Roman" w:cs="Times New Roman"/>
          <w:color w:val="000080"/>
        </w:rPr>
        <w:t>d</w:t>
      </w:r>
      <w:r>
        <w:rPr>
          <w:rFonts w:ascii="Times New Roman" w:eastAsia="Times New Roman" w:hAnsi="Times New Roman" w:cs="Times New Roman"/>
          <w:color w:val="000080"/>
        </w:rPr>
        <w:t>ard 00-56, Safety management requirements for defense systems, 2014 (UK Defense)</w:t>
      </w:r>
    </w:p>
    <w:p w:rsidR="700FD77B" w:rsidRDefault="700FD77B">
      <w:r w:rsidRPr="700FD77B">
        <w:rPr>
          <w:rFonts w:ascii="Times New Roman" w:eastAsia="Times New Roman" w:hAnsi="Times New Roman" w:cs="Times New Roman"/>
          <w:color w:val="000080"/>
        </w:rPr>
        <w:t>The HRG will undertake the following activities:</w:t>
      </w:r>
    </w:p>
    <w:p w:rsidR="700FD77B" w:rsidRDefault="3DDC111E" w:rsidP="700FD77B">
      <w:pPr>
        <w:pStyle w:val="Heading4"/>
      </w:pPr>
      <w:r w:rsidRPr="3DDC111E">
        <w:rPr>
          <w:rFonts w:ascii="Times New Roman" w:eastAsia="Times New Roman" w:hAnsi="Times New Roman" w:cs="Times New Roman"/>
          <w:color w:val="000080"/>
        </w:rPr>
        <w:t>Ada Language Issues</w:t>
      </w:r>
    </w:p>
    <w:p w:rsidR="700FD77B" w:rsidRDefault="700FD77B">
      <w:r w:rsidRPr="700FD77B">
        <w:rPr>
          <w:rFonts w:ascii="Times New Roman" w:eastAsia="Times New Roman" w:hAnsi="Times New Roman" w:cs="Times New Roman"/>
          <w:color w:val="000080"/>
        </w:rPr>
        <w:t>The HRG will produce and maintain an interpretations document.</w:t>
      </w:r>
    </w:p>
    <w:p w:rsidR="700FD77B" w:rsidRDefault="700FD77B">
      <w:r w:rsidRPr="700FD77B">
        <w:rPr>
          <w:rFonts w:ascii="Times New Roman" w:eastAsia="Times New Roman" w:hAnsi="Times New Roman" w:cs="Times New Roman"/>
          <w:color w:val="000080"/>
        </w:rPr>
        <w:t>The HRG will investigate pragma enhancement, such as additional parameters for restriction pragmas and additional pragmas.</w:t>
      </w:r>
    </w:p>
    <w:p w:rsidR="700FD77B" w:rsidRDefault="700FD77B">
      <w:r w:rsidRPr="700FD77B">
        <w:rPr>
          <w:rFonts w:ascii="Times New Roman" w:eastAsia="Times New Roman" w:hAnsi="Times New Roman" w:cs="Times New Roman"/>
          <w:color w:val="000080"/>
        </w:rPr>
        <w:t>The HRG will provide implementation advice, covering areas such as compilation and validation.</w:t>
      </w:r>
    </w:p>
    <w:p w:rsidR="700FD77B" w:rsidRDefault="700FD77B" w:rsidP="700FD77B">
      <w:pPr>
        <w:pStyle w:val="Heading4"/>
      </w:pPr>
      <w:r w:rsidRPr="700FD77B">
        <w:rPr>
          <w:rFonts w:ascii="Times New Roman" w:eastAsia="Times New Roman" w:hAnsi="Times New Roman" w:cs="Times New Roman"/>
          <w:color w:val="000080"/>
        </w:rPr>
        <w:t>Taxonomy of Techniques</w:t>
      </w:r>
    </w:p>
    <w:p w:rsidR="700FD77B" w:rsidRDefault="700FD77B">
      <w:r w:rsidRPr="700FD77B">
        <w:rPr>
          <w:rFonts w:ascii="Times New Roman" w:eastAsia="Times New Roman" w:hAnsi="Times New Roman" w:cs="Times New Roman"/>
          <w:color w:val="000080"/>
        </w:rPr>
        <w:t xml:space="preserve">The HRG will produce </w:t>
      </w:r>
      <w:proofErr w:type="gramStart"/>
      <w:r w:rsidR="00630D98">
        <w:rPr>
          <w:rFonts w:ascii="Times New Roman" w:eastAsia="Times New Roman" w:hAnsi="Times New Roman" w:cs="Times New Roman"/>
          <w:color w:val="000080"/>
        </w:rPr>
        <w:t xml:space="preserve">a </w:t>
      </w:r>
      <w:r w:rsidR="00630D98" w:rsidRPr="700FD77B">
        <w:rPr>
          <w:rFonts w:ascii="Times New Roman" w:eastAsia="Times New Roman" w:hAnsi="Times New Roman" w:cs="Times New Roman"/>
          <w:color w:val="000080"/>
        </w:rPr>
        <w:t>taxonomy</w:t>
      </w:r>
      <w:proofErr w:type="gramEnd"/>
      <w:r w:rsidRPr="700FD77B">
        <w:rPr>
          <w:rFonts w:ascii="Times New Roman" w:eastAsia="Times New Roman" w:hAnsi="Times New Roman" w:cs="Times New Roman"/>
          <w:color w:val="000080"/>
        </w:rPr>
        <w:t xml:space="preserve"> of techniques for the construction and analysis of high integrity software, such as:</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t xml:space="preserve">The use of annotations </w:t>
      </w:r>
      <w:r w:rsidR="00857C58">
        <w:rPr>
          <w:rFonts w:ascii="Times New Roman" w:eastAsia="Times New Roman" w:hAnsi="Times New Roman" w:cs="Times New Roman"/>
          <w:color w:val="000080"/>
        </w:rPr>
        <w:t xml:space="preserve">and contracts </w:t>
      </w:r>
      <w:r w:rsidRPr="3DDC111E">
        <w:rPr>
          <w:rFonts w:ascii="Times New Roman" w:eastAsia="Times New Roman" w:hAnsi="Times New Roman" w:cs="Times New Roman"/>
          <w:color w:val="000080"/>
        </w:rPr>
        <w:t>in program construction</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t>Error detection by static analysis</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t>Design confirmation by static analysis</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t>Static timing analysis</w:t>
      </w:r>
    </w:p>
    <w:p w:rsidR="700FD77B" w:rsidRDefault="700FD77B" w:rsidP="700FD77B">
      <w:pPr>
        <w:pStyle w:val="Heading4"/>
      </w:pPr>
      <w:r w:rsidRPr="700FD77B">
        <w:rPr>
          <w:rFonts w:ascii="Times New Roman" w:eastAsia="Times New Roman" w:hAnsi="Times New Roman" w:cs="Times New Roman"/>
          <w:color w:val="000080"/>
        </w:rPr>
        <w:t>Language Issues</w:t>
      </w:r>
    </w:p>
    <w:p w:rsidR="700FD77B" w:rsidRDefault="700FD77B">
      <w:r w:rsidRPr="700FD77B">
        <w:rPr>
          <w:rFonts w:ascii="Times New Roman" w:eastAsia="Times New Roman" w:hAnsi="Times New Roman" w:cs="Times New Roman"/>
          <w:color w:val="000080"/>
        </w:rPr>
        <w:t>The HRG will investigate the interaction of language issues with high integrity requirements, such as:</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lastRenderedPageBreak/>
        <w:t>Deterministic execution with compiler optimization and other property-based subsets</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t>Concurrency</w:t>
      </w:r>
      <w:r w:rsidR="00A778F2">
        <w:rPr>
          <w:rFonts w:ascii="Times New Roman" w:eastAsia="Times New Roman" w:hAnsi="Times New Roman" w:cs="Times New Roman"/>
          <w:color w:val="000080"/>
        </w:rPr>
        <w:t xml:space="preserve"> and Parallelism</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t>Software Vulnerabilities</w:t>
      </w:r>
    </w:p>
    <w:p w:rsidR="700FD77B" w:rsidRDefault="700FD77B" w:rsidP="700FD77B">
      <w:pPr>
        <w:pStyle w:val="Heading4"/>
      </w:pPr>
      <w:r w:rsidRPr="700FD77B">
        <w:rPr>
          <w:rFonts w:ascii="Times New Roman" w:eastAsia="Times New Roman" w:hAnsi="Times New Roman" w:cs="Times New Roman"/>
          <w:color w:val="000080"/>
        </w:rPr>
        <w:t>Bindings and Interfaces</w:t>
      </w:r>
    </w:p>
    <w:p w:rsidR="700FD77B" w:rsidRDefault="700FD77B">
      <w:r w:rsidRPr="700FD77B">
        <w:rPr>
          <w:rFonts w:ascii="Times New Roman" w:eastAsia="Times New Roman" w:hAnsi="Times New Roman" w:cs="Times New Roman"/>
          <w:color w:val="000080"/>
        </w:rPr>
        <w:t>The HRG will support the interoperation of high integrity software and tools with other systems, such as:</w:t>
      </w:r>
    </w:p>
    <w:p w:rsidR="700FD77B" w:rsidRDefault="3DDC111E" w:rsidP="700FD77B">
      <w:pPr>
        <w:pStyle w:val="ListParagraph"/>
        <w:numPr>
          <w:ilvl w:val="0"/>
          <w:numId w:val="1"/>
        </w:numPr>
      </w:pPr>
      <w:r w:rsidRPr="3DDC111E">
        <w:rPr>
          <w:rFonts w:ascii="Times New Roman" w:eastAsia="Times New Roman" w:hAnsi="Times New Roman" w:cs="Times New Roman"/>
          <w:color w:val="000080"/>
        </w:rPr>
        <w:t>Ada compilers and run-time environments</w:t>
      </w:r>
    </w:p>
    <w:p w:rsidR="3DDC111E" w:rsidRPr="006F430D" w:rsidRDefault="3DDC111E" w:rsidP="3DDC111E">
      <w:pPr>
        <w:pStyle w:val="ListParagraph"/>
        <w:numPr>
          <w:ilvl w:val="0"/>
          <w:numId w:val="1"/>
        </w:numPr>
      </w:pPr>
      <w:r w:rsidRPr="3DDC111E">
        <w:rPr>
          <w:rFonts w:ascii="Times New Roman" w:eastAsia="Times New Roman" w:hAnsi="Times New Roman" w:cs="Times New Roman"/>
          <w:color w:val="000080"/>
        </w:rPr>
        <w:t>Information Technology — Programming languages — Guidance to avoiding vulnerabilities in programming language</w:t>
      </w:r>
    </w:p>
    <w:p w:rsidR="006F430D" w:rsidRDefault="006F430D" w:rsidP="006F430D">
      <w:pPr>
        <w:ind w:left="360"/>
      </w:pPr>
    </w:p>
    <w:p w:rsidR="700FD77B" w:rsidRDefault="700FD77B" w:rsidP="3DDC111E">
      <w:pPr>
        <w:rPr>
          <w:rFonts w:ascii="Times New Roman" w:eastAsia="Times New Roman" w:hAnsi="Times New Roman" w:cs="Times New Roman"/>
          <w:color w:val="000080"/>
        </w:rPr>
      </w:pPr>
    </w:p>
    <w:p w:rsidR="700FD77B" w:rsidRDefault="700FD77B" w:rsidP="700FD77B"/>
    <w:sectPr w:rsidR="700FD77B" w:rsidSect="00BE33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E9" w:rsidRDefault="00B92CE9" w:rsidP="00E4530E">
      <w:pPr>
        <w:spacing w:after="0" w:line="240" w:lineRule="auto"/>
      </w:pPr>
      <w:r>
        <w:separator/>
      </w:r>
    </w:p>
  </w:endnote>
  <w:endnote w:type="continuationSeparator" w:id="0">
    <w:p w:rsidR="00B92CE9" w:rsidRDefault="00B92CE9" w:rsidP="00E45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0E" w:rsidRDefault="00E453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0E" w:rsidRDefault="00E453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0E" w:rsidRDefault="00E45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E9" w:rsidRDefault="00B92CE9" w:rsidP="00E4530E">
      <w:pPr>
        <w:spacing w:after="0" w:line="240" w:lineRule="auto"/>
      </w:pPr>
      <w:r>
        <w:separator/>
      </w:r>
    </w:p>
  </w:footnote>
  <w:footnote w:type="continuationSeparator" w:id="0">
    <w:p w:rsidR="00B92CE9" w:rsidRDefault="00B92CE9" w:rsidP="00E4530E">
      <w:pPr>
        <w:spacing w:after="0" w:line="240" w:lineRule="auto"/>
      </w:pPr>
      <w:r>
        <w:continuationSeparator/>
      </w:r>
    </w:p>
  </w:footnote>
  <w:footnote w:id="1">
    <w:p w:rsidR="00065422" w:rsidRDefault="00065422">
      <w:pPr>
        <w:pStyle w:val="FootnoteText"/>
      </w:pPr>
      <w:r>
        <w:rPr>
          <w:rStyle w:val="FootnoteReference"/>
        </w:rPr>
        <w:footnoteRef/>
      </w:r>
      <w:r>
        <w:t xml:space="preserve"> </w:t>
      </w:r>
      <w:r w:rsidR="005D0456">
        <w:t xml:space="preserve">High Integrity Software Standards and Guidelines, NIST Special Publication 500-204, </w:t>
      </w:r>
      <w:r w:rsidR="00A326E5">
        <w:t>September</w:t>
      </w:r>
      <w:r w:rsidR="006C1F63">
        <w:t xml:space="preserve"> 1992.</w:t>
      </w:r>
    </w:p>
  </w:footnote>
  <w:footnote w:id="2">
    <w:p w:rsidR="006F430D" w:rsidRDefault="006F430D">
      <w:pPr>
        <w:pStyle w:val="FootnoteText"/>
      </w:pPr>
      <w:r>
        <w:rPr>
          <w:rStyle w:val="FootnoteReference"/>
        </w:rPr>
        <w:footnoteRef/>
      </w:r>
      <w:r>
        <w:t xml:space="preserve"> This list represents a sampling of the high-integrity standards in use today that will affect the usage of the Ada programming language.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0E" w:rsidRDefault="00E453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658954"/>
      <w:docPartObj>
        <w:docPartGallery w:val="Watermarks"/>
        <w:docPartUnique/>
      </w:docPartObj>
    </w:sdtPr>
    <w:sdtContent>
      <w:p w:rsidR="00E4530E" w:rsidRDefault="003B1CC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30E" w:rsidRDefault="00E453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23D4"/>
    <w:multiLevelType w:val="hybridMultilevel"/>
    <w:tmpl w:val="D962075C"/>
    <w:lvl w:ilvl="0" w:tplc="A6687B4C">
      <w:start w:val="1"/>
      <w:numFmt w:val="bullet"/>
      <w:lvlText w:val=""/>
      <w:lvlJc w:val="left"/>
      <w:pPr>
        <w:ind w:left="720" w:hanging="360"/>
      </w:pPr>
      <w:rPr>
        <w:rFonts w:ascii="Symbol" w:hAnsi="Symbol" w:hint="default"/>
      </w:rPr>
    </w:lvl>
    <w:lvl w:ilvl="1" w:tplc="764A79C2">
      <w:start w:val="1"/>
      <w:numFmt w:val="bullet"/>
      <w:lvlText w:val="o"/>
      <w:lvlJc w:val="left"/>
      <w:pPr>
        <w:ind w:left="1440" w:hanging="360"/>
      </w:pPr>
      <w:rPr>
        <w:rFonts w:ascii="Courier New" w:hAnsi="Courier New" w:hint="default"/>
      </w:rPr>
    </w:lvl>
    <w:lvl w:ilvl="2" w:tplc="A7C02490">
      <w:start w:val="1"/>
      <w:numFmt w:val="bullet"/>
      <w:lvlText w:val=""/>
      <w:lvlJc w:val="left"/>
      <w:pPr>
        <w:ind w:left="2160" w:hanging="360"/>
      </w:pPr>
      <w:rPr>
        <w:rFonts w:ascii="Wingdings" w:hAnsi="Wingdings" w:hint="default"/>
      </w:rPr>
    </w:lvl>
    <w:lvl w:ilvl="3" w:tplc="F23EE19C">
      <w:start w:val="1"/>
      <w:numFmt w:val="bullet"/>
      <w:lvlText w:val=""/>
      <w:lvlJc w:val="left"/>
      <w:pPr>
        <w:ind w:left="2880" w:hanging="360"/>
      </w:pPr>
      <w:rPr>
        <w:rFonts w:ascii="Symbol" w:hAnsi="Symbol" w:hint="default"/>
      </w:rPr>
    </w:lvl>
    <w:lvl w:ilvl="4" w:tplc="E2767B3C">
      <w:start w:val="1"/>
      <w:numFmt w:val="bullet"/>
      <w:lvlText w:val="o"/>
      <w:lvlJc w:val="left"/>
      <w:pPr>
        <w:ind w:left="3600" w:hanging="360"/>
      </w:pPr>
      <w:rPr>
        <w:rFonts w:ascii="Courier New" w:hAnsi="Courier New" w:hint="default"/>
      </w:rPr>
    </w:lvl>
    <w:lvl w:ilvl="5" w:tplc="41F813AC">
      <w:start w:val="1"/>
      <w:numFmt w:val="bullet"/>
      <w:lvlText w:val=""/>
      <w:lvlJc w:val="left"/>
      <w:pPr>
        <w:ind w:left="4320" w:hanging="360"/>
      </w:pPr>
      <w:rPr>
        <w:rFonts w:ascii="Wingdings" w:hAnsi="Wingdings" w:hint="default"/>
      </w:rPr>
    </w:lvl>
    <w:lvl w:ilvl="6" w:tplc="07A826BE">
      <w:start w:val="1"/>
      <w:numFmt w:val="bullet"/>
      <w:lvlText w:val=""/>
      <w:lvlJc w:val="left"/>
      <w:pPr>
        <w:ind w:left="5040" w:hanging="360"/>
      </w:pPr>
      <w:rPr>
        <w:rFonts w:ascii="Symbol" w:hAnsi="Symbol" w:hint="default"/>
      </w:rPr>
    </w:lvl>
    <w:lvl w:ilvl="7" w:tplc="8A16FB18">
      <w:start w:val="1"/>
      <w:numFmt w:val="bullet"/>
      <w:lvlText w:val="o"/>
      <w:lvlJc w:val="left"/>
      <w:pPr>
        <w:ind w:left="5760" w:hanging="360"/>
      </w:pPr>
      <w:rPr>
        <w:rFonts w:ascii="Courier New" w:hAnsi="Courier New" w:hint="default"/>
      </w:rPr>
    </w:lvl>
    <w:lvl w:ilvl="8" w:tplc="827EA3E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700FD77B"/>
    <w:rsid w:val="000562EB"/>
    <w:rsid w:val="00065422"/>
    <w:rsid w:val="002432A5"/>
    <w:rsid w:val="003B1CCA"/>
    <w:rsid w:val="00576A88"/>
    <w:rsid w:val="005D0456"/>
    <w:rsid w:val="00630D98"/>
    <w:rsid w:val="006C1F63"/>
    <w:rsid w:val="006E29E5"/>
    <w:rsid w:val="006F430D"/>
    <w:rsid w:val="00857C58"/>
    <w:rsid w:val="00A174AD"/>
    <w:rsid w:val="00A326E5"/>
    <w:rsid w:val="00A778F2"/>
    <w:rsid w:val="00B92CE9"/>
    <w:rsid w:val="00BE3357"/>
    <w:rsid w:val="00E4530E"/>
    <w:rsid w:val="3DDC111E"/>
    <w:rsid w:val="700FD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57"/>
  </w:style>
  <w:style w:type="paragraph" w:styleId="Heading2">
    <w:name w:val="heading 2"/>
    <w:basedOn w:val="Normal"/>
    <w:next w:val="Normal"/>
    <w:link w:val="Heading2Char"/>
    <w:uiPriority w:val="9"/>
    <w:unhideWhenUsed/>
    <w:qFormat/>
    <w:rsid w:val="00BE33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BE33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35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E3357"/>
    <w:pPr>
      <w:ind w:left="720"/>
      <w:contextualSpacing/>
    </w:pPr>
  </w:style>
  <w:style w:type="character" w:customStyle="1" w:styleId="Heading4Char">
    <w:name w:val="Heading 4 Char"/>
    <w:basedOn w:val="DefaultParagraphFont"/>
    <w:link w:val="Heading4"/>
    <w:uiPriority w:val="9"/>
    <w:rsid w:val="00BE3357"/>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semiHidden/>
    <w:unhideWhenUsed/>
    <w:rsid w:val="00E453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30E"/>
  </w:style>
  <w:style w:type="paragraph" w:styleId="Footer">
    <w:name w:val="footer"/>
    <w:basedOn w:val="Normal"/>
    <w:link w:val="FooterChar"/>
    <w:uiPriority w:val="99"/>
    <w:semiHidden/>
    <w:unhideWhenUsed/>
    <w:rsid w:val="00E453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530E"/>
  </w:style>
  <w:style w:type="paragraph" w:styleId="FootnoteText">
    <w:name w:val="footnote text"/>
    <w:basedOn w:val="Normal"/>
    <w:link w:val="FootnoteTextChar"/>
    <w:uiPriority w:val="99"/>
    <w:semiHidden/>
    <w:unhideWhenUsed/>
    <w:rsid w:val="00065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422"/>
    <w:rPr>
      <w:sz w:val="20"/>
      <w:szCs w:val="20"/>
    </w:rPr>
  </w:style>
  <w:style w:type="character" w:styleId="FootnoteReference">
    <w:name w:val="footnote reference"/>
    <w:basedOn w:val="DefaultParagraphFont"/>
    <w:uiPriority w:val="99"/>
    <w:semiHidden/>
    <w:unhideWhenUsed/>
    <w:rsid w:val="00065422"/>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06634-0B31-44E7-AC93-B655FE30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Tokar</dc:creator>
  <cp:keywords/>
  <dc:description/>
  <cp:lastModifiedBy>Joyce L Tokar</cp:lastModifiedBy>
  <cp:revision>3</cp:revision>
  <dcterms:created xsi:type="dcterms:W3CDTF">2018-05-01T16:15:00Z</dcterms:created>
  <dcterms:modified xsi:type="dcterms:W3CDTF">2018-05-01T16:15:00Z</dcterms:modified>
</cp:coreProperties>
</file>