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C676" w14:textId="77777777" w:rsidR="003A13EA" w:rsidRPr="003A13EA" w:rsidRDefault="003A13EA" w:rsidP="003A13EA">
      <w:pPr>
        <w:keepNext/>
        <w:spacing w:before="200" w:after="240" w:line="276" w:lineRule="auto"/>
        <w:contextualSpacing/>
        <w:outlineLvl w:val="1"/>
        <w:rPr>
          <w:rFonts w:ascii="Cambria" w:eastAsia="MS Gothic" w:hAnsi="Cambria" w:cs="Times New Roman"/>
          <w:b/>
          <w:sz w:val="26"/>
          <w:szCs w:val="26"/>
          <w:lang w:val="en-US"/>
        </w:rPr>
      </w:pPr>
      <w:bookmarkStart w:id="0" w:name="_Toc358896525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6.40 Templates and Generics [SYM]</w:t>
      </w:r>
      <w:bookmarkEnd w:id="0"/>
    </w:p>
    <w:p w14:paraId="68B96F49" w14:textId="1D96D161" w:rsidR="003A13EA" w:rsidRPr="003A13EA" w:rsidRDefault="003A13EA" w:rsidP="003A13EA">
      <w:pPr>
        <w:spacing w:after="200" w:line="276" w:lineRule="auto"/>
        <w:rPr>
          <w:rFonts w:ascii="Calibri" w:eastAsia="MS Mincho" w:hAnsi="Calibri" w:cs="Times New Roman"/>
          <w:lang w:val="en-US"/>
        </w:rPr>
      </w:pPr>
      <w:r w:rsidRPr="003A13EA">
        <w:rPr>
          <w:rFonts w:ascii="Calibri" w:eastAsia="Times New Roman" w:hAnsi="Calibri" w:cs="Times New Roman"/>
          <w:lang w:val="en-US"/>
        </w:rPr>
        <w:t>Fortran does not support templates or generics, so the vulnerability specified in ISO/IEC TR 24772-1:2019 clause 6.40 does not apply to Fortran.</w:t>
      </w:r>
    </w:p>
    <w:p w14:paraId="2CEF3C3B" w14:textId="77777777" w:rsidR="003A13EA" w:rsidRPr="003A13EA" w:rsidRDefault="003A13EA" w:rsidP="003A13EA">
      <w:pPr>
        <w:keepNext/>
        <w:spacing w:before="200" w:after="240" w:line="276" w:lineRule="auto"/>
        <w:contextualSpacing/>
        <w:outlineLvl w:val="1"/>
        <w:rPr>
          <w:rFonts w:ascii="Cambria" w:eastAsia="MS Gothic" w:hAnsi="Cambria" w:cs="Times New Roman"/>
          <w:b/>
          <w:sz w:val="26"/>
          <w:szCs w:val="26"/>
          <w:lang w:val="en-US"/>
        </w:rPr>
      </w:pPr>
      <w:bookmarkStart w:id="1" w:name="_Ref336414406"/>
      <w:bookmarkStart w:id="2" w:name="_Toc358896526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6.41 Inheritance [RIP]</w:t>
      </w:r>
      <w:bookmarkEnd w:id="1"/>
      <w:bookmarkEnd w:id="2"/>
    </w:p>
    <w:p w14:paraId="70E66ECF" w14:textId="77777777"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6.41.1 Applicability to language </w:t>
      </w:r>
    </w:p>
    <w:p w14:paraId="5335F110" w14:textId="77777777" w:rsidR="003A13EA" w:rsidRPr="003A13EA" w:rsidRDefault="003A13EA" w:rsidP="003A13EA">
      <w:pPr>
        <w:spacing w:after="200" w:line="276" w:lineRule="auto"/>
        <w:rPr>
          <w:rFonts w:ascii="Calibri" w:eastAsia="Times New Roman" w:hAnsi="Calibri" w:cs="Times New Roman"/>
          <w:lang w:val="en-US"/>
        </w:rPr>
      </w:pPr>
      <w:r w:rsidRPr="003A13EA">
        <w:rPr>
          <w:rFonts w:ascii="Calibri" w:eastAsia="Times New Roman" w:hAnsi="Calibri" w:cs="Times New Roman"/>
          <w:lang w:val="en-US"/>
        </w:rPr>
        <w:t>The vulnerability specified in ISO/IEC TR 24772-1:2019 clause 6.41 applies to Fortran since Fortran supports inheritance</w:t>
      </w:r>
      <w:r>
        <w:rPr>
          <w:rFonts w:ascii="Calibri" w:eastAsia="Times New Roman" w:hAnsi="Calibri" w:cs="Times New Roman"/>
          <w:lang w:val="en-US"/>
        </w:rPr>
        <w:t xml:space="preserve"> and redefinition of type-bound subprograms. </w:t>
      </w:r>
      <w:r w:rsidRPr="003A13EA">
        <w:rPr>
          <w:rFonts w:ascii="Calibri" w:eastAsia="Times New Roman" w:hAnsi="Calibri" w:cs="Times New Roman"/>
          <w:lang w:val="en-US"/>
        </w:rPr>
        <w:t>Fortran supports single inheritance only, so the complexities associated with multiple inheritance do not apply.</w:t>
      </w:r>
      <w:r>
        <w:rPr>
          <w:rFonts w:ascii="Calibri" w:eastAsia="Times New Roman" w:hAnsi="Calibri" w:cs="Times New Roman"/>
          <w:lang w:val="en-US"/>
        </w:rPr>
        <w:t xml:space="preserve"> The problem of accidental redefinition is partially mitigated by the </w:t>
      </w:r>
      <w:r w:rsidRPr="003A13EA">
        <w:rPr>
          <w:rFonts w:ascii="Courier New" w:eastAsia="Times New Roman" w:hAnsi="Courier New" w:cs="Courier New"/>
          <w:lang w:val="en-GB"/>
        </w:rPr>
        <w:t>non overridable</w:t>
      </w:r>
      <w:r>
        <w:rPr>
          <w:rFonts w:ascii="Courier New" w:eastAsia="Times New Roman" w:hAnsi="Courier New" w:cs="Courier New"/>
          <w:lang w:val="en-GB"/>
        </w:rPr>
        <w:t xml:space="preserve"> </w:t>
      </w:r>
      <w:r w:rsidRPr="003A13EA">
        <w:rPr>
          <w:rFonts w:ascii="Calibri" w:eastAsia="Times New Roman" w:hAnsi="Calibri" w:cs="Times New Roman"/>
          <w:lang w:val="en-US"/>
        </w:rPr>
        <w:t>attribute which prevents overriding by all subclasses.</w:t>
      </w:r>
      <w:r>
        <w:rPr>
          <w:rFonts w:ascii="Calibri" w:eastAsia="Times New Roman" w:hAnsi="Calibri" w:cs="Times New Roman"/>
          <w:lang w:val="en-US"/>
        </w:rPr>
        <w:t xml:space="preserve"> There is no mechanism to restrict a type-bound subprogram to be a redefinition or a new subprogram, respectively. Hence the vulnerabilities of accidental redefinition and non-redefinition apply. </w:t>
      </w:r>
    </w:p>
    <w:p w14:paraId="576DC203" w14:textId="77777777"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6.41.2 Guidance to language users </w:t>
      </w:r>
    </w:p>
    <w:p w14:paraId="28B8C6B5" w14:textId="77777777" w:rsidR="003A13EA" w:rsidRPr="003A13EA" w:rsidRDefault="003A13EA" w:rsidP="003A13EA">
      <w:pPr>
        <w:widowControl w:val="0"/>
        <w:suppressLineNumbers/>
        <w:overflowPunct w:val="0"/>
        <w:adjustRightInd w:val="0"/>
        <w:spacing w:after="120" w:line="276" w:lineRule="auto"/>
        <w:ind w:left="720" w:hanging="360"/>
        <w:contextualSpacing/>
        <w:rPr>
          <w:rFonts w:ascii="Calibri" w:eastAsia="Times New Roman" w:hAnsi="Calibri" w:cs="Times New Roman"/>
          <w:lang w:val="en-GB"/>
        </w:rPr>
      </w:pPr>
      <w:r w:rsidRPr="003A13EA">
        <w:rPr>
          <w:rFonts w:ascii="Calibri" w:eastAsia="Times New Roman" w:hAnsi="Calibri" w:cs="Times New Roman"/>
          <w:lang w:val="en-GB"/>
        </w:rPr>
        <w:t>Follow the guidance of ISO/IEC TR</w:t>
      </w:r>
      <w:r>
        <w:rPr>
          <w:rFonts w:ascii="Calibri" w:eastAsia="Times New Roman" w:hAnsi="Calibri" w:cs="Times New Roman"/>
          <w:lang w:val="en-GB"/>
        </w:rPr>
        <w:t xml:space="preserve"> 24772-1:2019 clause 6.41.5.</w:t>
      </w:r>
    </w:p>
    <w:p w14:paraId="53ABCA85" w14:textId="77777777" w:rsidR="003A13EA" w:rsidRPr="003A13EA" w:rsidRDefault="003A13EA" w:rsidP="003A13EA">
      <w:pPr>
        <w:widowControl w:val="0"/>
        <w:suppressLineNumbers/>
        <w:overflowPunct w:val="0"/>
        <w:adjustRightInd w:val="0"/>
        <w:spacing w:after="120" w:line="276" w:lineRule="auto"/>
        <w:ind w:left="720" w:hanging="360"/>
        <w:contextualSpacing/>
        <w:rPr>
          <w:rFonts w:ascii="Calibri" w:eastAsia="Times New Roman" w:hAnsi="Calibri" w:cs="Times New Roman"/>
          <w:lang w:val="en-GB"/>
        </w:rPr>
      </w:pPr>
      <w:r w:rsidRPr="003A13EA">
        <w:rPr>
          <w:rFonts w:ascii="Calibri" w:eastAsia="Times New Roman" w:hAnsi="Calibri" w:cs="Times New Roman"/>
          <w:lang w:val="en-GB"/>
        </w:rPr>
        <w:t xml:space="preserve">Declare a type-bound procedure to be </w:t>
      </w:r>
      <w:proofErr w:type="spellStart"/>
      <w:r w:rsidRPr="003A13EA">
        <w:rPr>
          <w:rFonts w:ascii="Courier New" w:eastAsia="Times New Roman" w:hAnsi="Courier New" w:cs="Courier New"/>
          <w:lang w:val="en-GB"/>
        </w:rPr>
        <w:t>non overridable</w:t>
      </w:r>
      <w:proofErr w:type="spellEnd"/>
      <w:r w:rsidRPr="003A13EA">
        <w:rPr>
          <w:rFonts w:ascii="Calibri" w:eastAsia="Times New Roman" w:hAnsi="Calibri" w:cs="Times New Roman"/>
          <w:sz w:val="25"/>
          <w:lang w:val="en-GB"/>
        </w:rPr>
        <w:t xml:space="preserve"> </w:t>
      </w:r>
      <w:r w:rsidRPr="003A13EA">
        <w:rPr>
          <w:rFonts w:ascii="Calibri" w:eastAsia="Times New Roman" w:hAnsi="Calibri" w:cs="Times New Roman"/>
          <w:lang w:val="en-GB"/>
        </w:rPr>
        <w:t>when neces</w:t>
      </w:r>
      <w:r w:rsidRPr="003A13EA">
        <w:rPr>
          <w:rFonts w:ascii="Calibri" w:eastAsia="Times New Roman" w:hAnsi="Calibri" w:cs="Times New Roman"/>
          <w:lang w:val="en-GB"/>
        </w:rPr>
        <w:softHyphen/>
        <w:t>sary to ensure that it is not overridden</w:t>
      </w:r>
      <w:r>
        <w:rPr>
          <w:rFonts w:ascii="Calibri" w:eastAsia="Times New Roman" w:hAnsi="Calibri" w:cs="Times New Roman"/>
          <w:lang w:val="en-GB"/>
        </w:rPr>
        <w:t xml:space="preserve"> by subclasses</w:t>
      </w:r>
      <w:r w:rsidRPr="003A13EA">
        <w:rPr>
          <w:rFonts w:ascii="Calibri" w:eastAsia="Times New Roman" w:hAnsi="Calibri" w:cs="Times New Roman"/>
          <w:lang w:val="en-GB"/>
        </w:rPr>
        <w:t>.</w:t>
      </w:r>
    </w:p>
    <w:p w14:paraId="00853613" w14:textId="77777777" w:rsidR="003A13EA" w:rsidRDefault="003A13EA" w:rsidP="003A13EA">
      <w:pPr>
        <w:widowControl w:val="0"/>
        <w:suppressLineNumbers/>
        <w:overflowPunct w:val="0"/>
        <w:adjustRightInd w:val="0"/>
        <w:spacing w:after="120" w:line="276" w:lineRule="auto"/>
        <w:ind w:left="720" w:hanging="360"/>
        <w:contextualSpacing/>
        <w:rPr>
          <w:rFonts w:ascii="Calibri" w:eastAsia="Times New Roman" w:hAnsi="Calibri" w:cs="Times New Roman"/>
          <w:lang w:val="en-GB"/>
        </w:rPr>
      </w:pPr>
      <w:r w:rsidRPr="003A13EA">
        <w:rPr>
          <w:rFonts w:ascii="Calibri" w:eastAsia="Times New Roman" w:hAnsi="Calibri" w:cs="Times New Roman"/>
          <w:lang w:val="en-GB"/>
        </w:rPr>
        <w:t>Provide a private component to store the version control identifier of the derived type, together with an accessor routine.</w:t>
      </w:r>
      <w:r w:rsidRPr="003A13EA">
        <w:rPr>
          <w:rFonts w:ascii="Calibri" w:eastAsia="Times New Roman" w:hAnsi="Calibri" w:cs="Times New Roman"/>
          <w:color w:val="FF0000"/>
          <w:lang w:val="en-GB"/>
        </w:rPr>
        <w:t xml:space="preserve"> &lt;&lt;&lt;interesting </w:t>
      </w:r>
      <w:proofErr w:type="gramStart"/>
      <w:r w:rsidRPr="003A13EA">
        <w:rPr>
          <w:rFonts w:ascii="Calibri" w:eastAsia="Times New Roman" w:hAnsi="Calibri" w:cs="Times New Roman"/>
          <w:color w:val="FF0000"/>
          <w:lang w:val="en-GB"/>
        </w:rPr>
        <w:t>idea, but</w:t>
      </w:r>
      <w:proofErr w:type="gramEnd"/>
      <w:r w:rsidRPr="003A13EA">
        <w:rPr>
          <w:rFonts w:ascii="Calibri" w:eastAsia="Times New Roman" w:hAnsi="Calibri" w:cs="Times New Roman"/>
          <w:color w:val="FF0000"/>
          <w:lang w:val="en-GB"/>
        </w:rPr>
        <w:t xml:space="preserve"> needs substantiation in 6.41.1.&gt;&gt;</w:t>
      </w:r>
    </w:p>
    <w:p w14:paraId="11781DA5" w14:textId="77777777" w:rsidR="003A13EA" w:rsidRPr="003A13EA" w:rsidRDefault="003A13EA" w:rsidP="003A13EA">
      <w:pPr>
        <w:widowControl w:val="0"/>
        <w:suppressLineNumbers/>
        <w:overflowPunct w:val="0"/>
        <w:adjustRightInd w:val="0"/>
        <w:spacing w:after="120" w:line="276" w:lineRule="auto"/>
        <w:ind w:left="720" w:hanging="360"/>
        <w:contextualSpacing/>
        <w:rPr>
          <w:rFonts w:ascii="Calibri" w:eastAsia="Times New Roman" w:hAnsi="Calibri" w:cs="Times New Roman"/>
          <w:lang w:val="en-GB"/>
        </w:rPr>
      </w:pPr>
    </w:p>
    <w:p w14:paraId="4815F2E6" w14:textId="77777777" w:rsidR="003A13EA" w:rsidRPr="003A13EA" w:rsidRDefault="003A13EA" w:rsidP="003A13EA">
      <w:pPr>
        <w:keepNext/>
        <w:spacing w:before="200" w:after="240" w:line="276" w:lineRule="auto"/>
        <w:contextualSpacing/>
        <w:outlineLvl w:val="1"/>
        <w:rPr>
          <w:rFonts w:ascii="Cambria" w:eastAsia="MS Gothic" w:hAnsi="Cambria" w:cs="Times New Roman"/>
          <w:b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 xml:space="preserve">6.42 Violations of the </w:t>
      </w:r>
      <w:proofErr w:type="spellStart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Liskov</w:t>
      </w:r>
      <w:proofErr w:type="spellEnd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 xml:space="preserve"> Substitution Principle or the Contract Model [BLP]</w:t>
      </w:r>
      <w:r w:rsidRPr="003A13EA">
        <w:rPr>
          <w:rFonts w:ascii="Cambria" w:eastAsia="MS Gothic" w:hAnsi="Cambria" w:cs="Times New Roman"/>
          <w:sz w:val="26"/>
          <w:szCs w:val="26"/>
          <w:lang w:val="en-US"/>
        </w:rPr>
        <w:t xml:space="preserve"> </w:t>
      </w:r>
    </w:p>
    <w:p w14:paraId="0D142A20" w14:textId="77777777"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6.42.1 Applicability to language </w:t>
      </w:r>
    </w:p>
    <w:p w14:paraId="59A0D136" w14:textId="77777777" w:rsidR="003A13EA" w:rsidRPr="003A13EA" w:rsidRDefault="003A13EA" w:rsidP="003A13EA">
      <w:pPr>
        <w:spacing w:after="200" w:line="276" w:lineRule="auto"/>
        <w:rPr>
          <w:rFonts w:ascii="Calibri" w:eastAsia="MS Mincho" w:hAnsi="Calibri" w:cs="Times New Roman"/>
          <w:lang w:val="en-US"/>
        </w:rPr>
      </w:pPr>
      <w:r w:rsidRPr="003A13EA">
        <w:rPr>
          <w:rFonts w:ascii="Calibri" w:eastAsia="Times New Roman" w:hAnsi="Calibri" w:cs="Times New Roman"/>
          <w:lang w:val="en-US"/>
        </w:rPr>
        <w:t>The vulnerability specified in ISO</w:t>
      </w:r>
      <w:r>
        <w:rPr>
          <w:rFonts w:ascii="Calibri" w:eastAsia="Times New Roman" w:hAnsi="Calibri" w:cs="Times New Roman"/>
          <w:lang w:val="en-US"/>
        </w:rPr>
        <w:t>/IEC TR 24772-1:2019 clause 6.42</w:t>
      </w:r>
      <w:r w:rsidRPr="003A13EA">
        <w:rPr>
          <w:rFonts w:ascii="Calibri" w:eastAsia="Times New Roman" w:hAnsi="Calibri" w:cs="Times New Roman"/>
          <w:lang w:val="en-US"/>
        </w:rPr>
        <w:t xml:space="preserve"> applies to Fortran</w:t>
      </w:r>
      <w:r>
        <w:rPr>
          <w:rFonts w:ascii="Calibri" w:eastAsia="Times New Roman" w:hAnsi="Calibri" w:cs="Times New Roman"/>
          <w:lang w:val="en-US"/>
        </w:rPr>
        <w:t xml:space="preserve">. Fortran has no means to </w:t>
      </w:r>
      <w:proofErr w:type="spellStart"/>
      <w:r>
        <w:rPr>
          <w:rFonts w:ascii="Calibri" w:eastAsia="Times New Roman" w:hAnsi="Calibri" w:cs="Times New Roman"/>
          <w:lang w:val="en-US"/>
        </w:rPr>
        <w:t>specifiy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and enforce pre- and postconditions, or to prevent “has-a”-inheritance.</w:t>
      </w:r>
    </w:p>
    <w:p w14:paraId="0986D851" w14:textId="77777777" w:rsidR="00C868E1" w:rsidRPr="003A13EA" w:rsidRDefault="003A13EA" w:rsidP="00C868E1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6.42.2 </w:t>
      </w:r>
      <w:r w:rsidR="00C868E1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>Guidance to language users</w:t>
      </w:r>
    </w:p>
    <w:p w14:paraId="15254AC9" w14:textId="77777777" w:rsidR="00C868E1" w:rsidRPr="00C868E1" w:rsidRDefault="00C868E1" w:rsidP="00C868E1">
      <w:pPr>
        <w:widowControl w:val="0"/>
        <w:suppressLineNumbers/>
        <w:overflowPunct w:val="0"/>
        <w:adjustRightInd w:val="0"/>
        <w:spacing w:after="120" w:line="276" w:lineRule="auto"/>
        <w:ind w:left="360"/>
        <w:rPr>
          <w:rFonts w:ascii="Calibri" w:eastAsia="Times New Roman" w:hAnsi="Calibri" w:cs="Times New Roman"/>
          <w:lang w:val="en-GB"/>
        </w:rPr>
      </w:pPr>
      <w:r w:rsidRPr="00C868E1">
        <w:rPr>
          <w:rFonts w:ascii="Calibri" w:eastAsia="Times New Roman" w:hAnsi="Calibri" w:cs="Times New Roman"/>
          <w:lang w:val="en-GB"/>
        </w:rPr>
        <w:t>Follow the guidance of ISO/IEC TR 24772-1:2019 clause 6.42.5.</w:t>
      </w:r>
    </w:p>
    <w:p w14:paraId="52B2ACB4" w14:textId="77777777" w:rsidR="003A13EA" w:rsidRPr="003A13EA" w:rsidRDefault="003A13EA" w:rsidP="003A13EA">
      <w:pPr>
        <w:spacing w:after="200" w:line="276" w:lineRule="auto"/>
        <w:rPr>
          <w:rFonts w:ascii="Calibri" w:eastAsia="MS Mincho" w:hAnsi="Calibri" w:cs="Times New Roman"/>
          <w:lang w:val="en-GB"/>
        </w:rPr>
      </w:pPr>
    </w:p>
    <w:p w14:paraId="2B984B43" w14:textId="77777777" w:rsidR="003A13EA" w:rsidRPr="003A13EA" w:rsidRDefault="003A13EA" w:rsidP="003A13EA">
      <w:pPr>
        <w:keepNext/>
        <w:spacing w:before="200" w:after="240" w:line="276" w:lineRule="auto"/>
        <w:contextualSpacing/>
        <w:outlineLvl w:val="1"/>
        <w:rPr>
          <w:rFonts w:ascii="Cambria" w:eastAsia="MS Gothic" w:hAnsi="Cambria" w:cs="Times New Roman"/>
          <w:b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 xml:space="preserve">6.43 </w:t>
      </w:r>
      <w:proofErr w:type="spellStart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Redispatching</w:t>
      </w:r>
      <w:proofErr w:type="spellEnd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 xml:space="preserve"> [PPH]</w:t>
      </w:r>
    </w:p>
    <w:p w14:paraId="0C8C02F7" w14:textId="77777777"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6.43.1 Applicability to language </w:t>
      </w:r>
    </w:p>
    <w:p w14:paraId="725A64FD" w14:textId="77777777" w:rsidR="00C868E1" w:rsidRPr="003A13EA" w:rsidRDefault="003A13EA" w:rsidP="003A13EA">
      <w:pPr>
        <w:spacing w:after="200" w:line="276" w:lineRule="auto"/>
        <w:jc w:val="both"/>
        <w:rPr>
          <w:rFonts w:eastAsia="Times New Roman"/>
          <w:color w:val="FF0000"/>
          <w:lang w:val="en-US"/>
        </w:rPr>
      </w:pPr>
      <w:r w:rsidRPr="003A13EA">
        <w:rPr>
          <w:rFonts w:eastAsia="Times New Roman"/>
          <w:lang w:val="en-US"/>
        </w:rPr>
        <w:t>The vulnerability specified in ISO/IEC TR 24772-1:2019</w:t>
      </w:r>
      <w:r w:rsidR="00C868E1">
        <w:rPr>
          <w:rFonts w:eastAsia="Times New Roman"/>
          <w:lang w:val="en-US"/>
        </w:rPr>
        <w:t xml:space="preserve"> clause 6.45 applies to Fortran, since calls to type-bound procedures inside inherited implementation dispatch to the dynamic type of the object in question. To prevent </w:t>
      </w:r>
      <w:proofErr w:type="spellStart"/>
      <w:r w:rsidR="00C868E1">
        <w:rPr>
          <w:rFonts w:eastAsia="Times New Roman"/>
          <w:lang w:val="en-US"/>
        </w:rPr>
        <w:t>redispatching</w:t>
      </w:r>
      <w:proofErr w:type="spellEnd"/>
      <w:r w:rsidR="00C868E1">
        <w:rPr>
          <w:rFonts w:eastAsia="Times New Roman"/>
          <w:lang w:val="en-US"/>
        </w:rPr>
        <w:t xml:space="preserve">, </w:t>
      </w:r>
      <w:proofErr w:type="spellStart"/>
      <w:r w:rsidR="00C868E1">
        <w:rPr>
          <w:rFonts w:eastAsia="Times New Roman"/>
          <w:lang w:val="en-US"/>
        </w:rPr>
        <w:t>Fortan</w:t>
      </w:r>
      <w:proofErr w:type="spellEnd"/>
      <w:r w:rsidR="00C868E1">
        <w:rPr>
          <w:rFonts w:eastAsia="Times New Roman"/>
          <w:lang w:val="en-US"/>
        </w:rPr>
        <w:t xml:space="preserve"> provides </w:t>
      </w:r>
      <w:r w:rsidR="00C868E1">
        <w:rPr>
          <w:rFonts w:eastAsia="Times New Roman"/>
          <w:color w:val="FF0000"/>
          <w:lang w:val="en-US"/>
        </w:rPr>
        <w:t>&lt;&lt;&lt;what? Other languages use view-conversion of the object or qualifications of the call by the class&gt;&gt;&gt;&gt;</w:t>
      </w:r>
    </w:p>
    <w:p w14:paraId="10E14502" w14:textId="77777777"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>6.43. 2 Guidance to language users</w:t>
      </w:r>
    </w:p>
    <w:p w14:paraId="2D212463" w14:textId="77777777" w:rsidR="003A13EA" w:rsidRDefault="00C868E1" w:rsidP="003A13EA">
      <w:pPr>
        <w:keepNext/>
        <w:spacing w:before="200" w:after="240" w:line="271" w:lineRule="auto"/>
        <w:contextualSpacing/>
        <w:outlineLvl w:val="2"/>
        <w:rPr>
          <w:rFonts w:ascii="Calibri" w:eastAsia="Times New Roman" w:hAnsi="Calibri" w:cs="Times New Roman"/>
          <w:lang w:val="en-GB"/>
        </w:rPr>
      </w:pPr>
      <w:r w:rsidRPr="00C868E1">
        <w:rPr>
          <w:rFonts w:ascii="Calibri" w:eastAsia="Times New Roman" w:hAnsi="Calibri" w:cs="Times New Roman"/>
          <w:lang w:val="en-GB"/>
        </w:rPr>
        <w:t>Follow the guidance of ISO/IEC TR</w:t>
      </w:r>
      <w:r>
        <w:rPr>
          <w:rFonts w:ascii="Calibri" w:eastAsia="Times New Roman" w:hAnsi="Calibri" w:cs="Times New Roman"/>
          <w:lang w:val="en-GB"/>
        </w:rPr>
        <w:t xml:space="preserve"> 24772-1:2019 clause 6.43</w:t>
      </w:r>
      <w:r w:rsidRPr="00C868E1">
        <w:rPr>
          <w:rFonts w:ascii="Calibri" w:eastAsia="Times New Roman" w:hAnsi="Calibri" w:cs="Times New Roman"/>
          <w:lang w:val="en-GB"/>
        </w:rPr>
        <w:t>.5.</w:t>
      </w:r>
    </w:p>
    <w:p w14:paraId="6B7DA874" w14:textId="77777777" w:rsidR="003A13EA" w:rsidRDefault="00C868E1" w:rsidP="00C868E1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color w:val="FF0000"/>
          <w:sz w:val="26"/>
          <w:szCs w:val="26"/>
          <w:lang w:val="en-US"/>
        </w:rPr>
      </w:pPr>
      <w:r>
        <w:rPr>
          <w:rFonts w:ascii="Calibri" w:eastAsia="Times New Roman" w:hAnsi="Calibri" w:cs="Times New Roman"/>
          <w:color w:val="FF0000"/>
          <w:lang w:val="en-GB"/>
        </w:rPr>
        <w:t xml:space="preserve">&lt;&lt;&lt; plus translate the above to some </w:t>
      </w:r>
      <w:proofErr w:type="spellStart"/>
      <w:r>
        <w:rPr>
          <w:rFonts w:ascii="Calibri" w:eastAsia="Times New Roman" w:hAnsi="Calibri" w:cs="Times New Roman"/>
          <w:color w:val="FF0000"/>
          <w:lang w:val="en-GB"/>
        </w:rPr>
        <w:t>guideance</w:t>
      </w:r>
      <w:proofErr w:type="spellEnd"/>
      <w:r>
        <w:rPr>
          <w:rFonts w:ascii="Calibri" w:eastAsia="Times New Roman" w:hAnsi="Calibri" w:cs="Times New Roman"/>
          <w:color w:val="FF0000"/>
          <w:lang w:val="en-GB"/>
        </w:rPr>
        <w:t xml:space="preserve"> on how to avoid </w:t>
      </w:r>
      <w:proofErr w:type="spellStart"/>
      <w:r>
        <w:rPr>
          <w:rFonts w:ascii="Calibri" w:eastAsia="Times New Roman" w:hAnsi="Calibri" w:cs="Times New Roman"/>
          <w:color w:val="FF0000"/>
          <w:lang w:val="en-GB"/>
        </w:rPr>
        <w:t>redispatching</w:t>
      </w:r>
      <w:proofErr w:type="spellEnd"/>
      <w:r>
        <w:rPr>
          <w:rFonts w:ascii="Calibri" w:eastAsia="Times New Roman" w:hAnsi="Calibri" w:cs="Times New Roman"/>
          <w:color w:val="FF0000"/>
          <w:lang w:val="en-GB"/>
        </w:rPr>
        <w:t>&gt;&gt;</w:t>
      </w:r>
    </w:p>
    <w:p w14:paraId="4EB456B6" w14:textId="77777777" w:rsidR="00C868E1" w:rsidRPr="003A13EA" w:rsidRDefault="00C868E1" w:rsidP="00C868E1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color w:val="FF0000"/>
          <w:sz w:val="26"/>
          <w:szCs w:val="26"/>
          <w:lang w:val="en-US"/>
        </w:rPr>
      </w:pPr>
    </w:p>
    <w:p w14:paraId="776F6599" w14:textId="77777777" w:rsidR="003A13EA" w:rsidRPr="003A13EA" w:rsidRDefault="003A13EA" w:rsidP="003A13EA">
      <w:pPr>
        <w:spacing w:after="200" w:line="276" w:lineRule="auto"/>
        <w:rPr>
          <w:rFonts w:ascii="Calibri" w:eastAsia="MS Mincho" w:hAnsi="Calibri" w:cs="Times New Roman"/>
          <w:lang w:val="en-US"/>
        </w:rPr>
      </w:pPr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6.44 Polymorphic Variables</w:t>
      </w:r>
    </w:p>
    <w:p w14:paraId="0799847D" w14:textId="77777777"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lastRenderedPageBreak/>
        <w:t xml:space="preserve">6.44.1 Applicability to language </w:t>
      </w:r>
    </w:p>
    <w:p w14:paraId="277C6416" w14:textId="77777777" w:rsidR="003A13EA" w:rsidRPr="008D55B0" w:rsidRDefault="003A13EA" w:rsidP="003A13EA">
      <w:pPr>
        <w:spacing w:after="200" w:line="276" w:lineRule="auto"/>
        <w:rPr>
          <w:rFonts w:eastAsia="Times New Roman"/>
          <w:lang w:val="en-US"/>
        </w:rPr>
      </w:pPr>
      <w:r w:rsidRPr="003A13EA">
        <w:rPr>
          <w:rFonts w:eastAsia="Times New Roman"/>
          <w:lang w:val="en-US"/>
        </w:rPr>
        <w:t>The vulnerability specified in ISO/IEC TR 24772-1:2019</w:t>
      </w:r>
      <w:r w:rsidR="00C868E1">
        <w:rPr>
          <w:rFonts w:eastAsia="Times New Roman"/>
          <w:lang w:val="en-US"/>
        </w:rPr>
        <w:t xml:space="preserve"> clause 6.45 applies to Fortran, as Fortran provides polymorphic variables. </w:t>
      </w:r>
      <w:proofErr w:type="spellStart"/>
      <w:r w:rsidR="00C868E1">
        <w:rPr>
          <w:rFonts w:eastAsia="Times New Roman"/>
          <w:lang w:val="en-US"/>
        </w:rPr>
        <w:t>Upcasts</w:t>
      </w:r>
      <w:proofErr w:type="spellEnd"/>
      <w:r w:rsidR="00C868E1">
        <w:rPr>
          <w:rFonts w:eastAsia="Times New Roman"/>
          <w:lang w:val="en-US"/>
        </w:rPr>
        <w:t>, as described in</w:t>
      </w:r>
      <w:r w:rsidR="00C868E1" w:rsidRPr="003A13EA">
        <w:rPr>
          <w:rFonts w:eastAsia="Times New Roman"/>
          <w:lang w:val="en-US"/>
        </w:rPr>
        <w:t xml:space="preserve"> ISO/IEC TR 24772-1:2019</w:t>
      </w:r>
      <w:r w:rsidR="00C868E1">
        <w:rPr>
          <w:rFonts w:eastAsia="Times New Roman"/>
          <w:lang w:val="en-US"/>
        </w:rPr>
        <w:t xml:space="preserve"> clause 6.45, are implicit in assignments and parameter passing, which always allow a value of a class to be assigned to a variable declared to be of any of its </w:t>
      </w:r>
      <w:proofErr w:type="spellStart"/>
      <w:r w:rsidR="00C868E1">
        <w:rPr>
          <w:rFonts w:eastAsia="Times New Roman"/>
          <w:lang w:val="en-US"/>
        </w:rPr>
        <w:t>superclasses</w:t>
      </w:r>
      <w:proofErr w:type="spellEnd"/>
      <w:r w:rsidR="00C868E1">
        <w:rPr>
          <w:rFonts w:eastAsia="Times New Roman"/>
          <w:lang w:val="en-US"/>
        </w:rPr>
        <w:t xml:space="preserve">. </w:t>
      </w:r>
      <w:proofErr w:type="spellStart"/>
      <w:r w:rsidR="008D55B0">
        <w:rPr>
          <w:rFonts w:eastAsia="Times New Roman"/>
          <w:lang w:val="en-US"/>
        </w:rPr>
        <w:t>Crosscasts</w:t>
      </w:r>
      <w:proofErr w:type="spellEnd"/>
      <w:r w:rsidR="008D55B0">
        <w:rPr>
          <w:rFonts w:eastAsia="Times New Roman"/>
          <w:lang w:val="en-US"/>
        </w:rPr>
        <w:t xml:space="preserve"> or other unsafe casts are not possible in Fortran. </w:t>
      </w:r>
      <w:proofErr w:type="spellStart"/>
      <w:r w:rsidR="008D55B0">
        <w:rPr>
          <w:rFonts w:eastAsia="Times New Roman"/>
          <w:lang w:val="en-US"/>
        </w:rPr>
        <w:t>Downcasts</w:t>
      </w:r>
      <w:proofErr w:type="spellEnd"/>
      <w:r w:rsidR="008D55B0">
        <w:rPr>
          <w:rFonts w:eastAsia="Times New Roman"/>
          <w:lang w:val="en-US"/>
        </w:rPr>
        <w:t xml:space="preserve"> are realized by </w:t>
      </w:r>
      <w:r w:rsidR="00C868E1">
        <w:rPr>
          <w:rFonts w:eastAsia="Times New Roman"/>
          <w:lang w:val="en-US"/>
        </w:rPr>
        <w:t xml:space="preserve">type select statements, where a variable selected upon assumes the selected type as its declared type for the extent of the respective branch. </w:t>
      </w:r>
      <w:r w:rsidR="008D55B0">
        <w:rPr>
          <w:rFonts w:eastAsia="Times New Roman"/>
          <w:color w:val="FF0000"/>
          <w:lang w:val="en-US"/>
        </w:rPr>
        <w:t xml:space="preserve">&lt;&lt;&lt;presuming that the check is an inclusion, not an equality check&gt;&gt;. </w:t>
      </w:r>
      <w:r w:rsidR="008D55B0">
        <w:rPr>
          <w:rFonts w:eastAsia="Times New Roman"/>
          <w:lang w:val="en-US"/>
        </w:rPr>
        <w:t xml:space="preserve">Care needs to be taken to check for more specific class first, because an early check on a superclass makes all subsequent branches on its subclasses unreachable. The vulnerability of not handling the error situation by default </w:t>
      </w:r>
      <w:proofErr w:type="spellStart"/>
      <w:r w:rsidR="008D55B0">
        <w:rPr>
          <w:rFonts w:eastAsia="Times New Roman"/>
          <w:lang w:val="en-US"/>
        </w:rPr>
        <w:t>brach</w:t>
      </w:r>
      <w:proofErr w:type="spellEnd"/>
      <w:r w:rsidR="008D55B0">
        <w:rPr>
          <w:rFonts w:eastAsia="Times New Roman"/>
          <w:lang w:val="en-US"/>
        </w:rPr>
        <w:t xml:space="preserve"> in the type select statement remains and needs to be handled. See &lt;&lt;&lt; the clause on error handling&gt;&gt;&gt;</w:t>
      </w:r>
    </w:p>
    <w:p w14:paraId="6A186E11" w14:textId="77777777" w:rsidR="003A13EA" w:rsidRPr="003A13EA" w:rsidRDefault="003A13EA" w:rsidP="003A13EA">
      <w:pPr>
        <w:spacing w:after="200" w:line="276" w:lineRule="auto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>6.44. 2 Guidance to language users</w:t>
      </w:r>
    </w:p>
    <w:p w14:paraId="4643665B" w14:textId="77777777" w:rsidR="008D55B0" w:rsidRPr="008D55B0" w:rsidRDefault="008D55B0" w:rsidP="008D55B0">
      <w:pPr>
        <w:rPr>
          <w:lang w:val="en-US"/>
        </w:rPr>
      </w:pPr>
      <w:bookmarkStart w:id="3" w:name="_GoBack"/>
      <w:r w:rsidRPr="008D55B0">
        <w:rPr>
          <w:lang w:val="en-US"/>
        </w:rPr>
        <w:t>Software developers can avoid the vulnerability or mitigate its ill effects in the following ways:</w:t>
      </w:r>
    </w:p>
    <w:p w14:paraId="22BA8548" w14:textId="77777777" w:rsidR="008D55B0" w:rsidRPr="00461310" w:rsidRDefault="008D55B0" w:rsidP="008D55B0">
      <w:pPr>
        <w:pStyle w:val="ListParagraph"/>
        <w:numPr>
          <w:ilvl w:val="0"/>
          <w:numId w:val="2"/>
        </w:numPr>
        <w:spacing w:before="120" w:after="120" w:line="240" w:lineRule="auto"/>
        <w:rPr>
          <w:lang w:val="en-GB"/>
        </w:rPr>
      </w:pPr>
      <w:proofErr w:type="spellStart"/>
      <w:r>
        <w:t>When</w:t>
      </w:r>
      <w:proofErr w:type="spellEnd"/>
      <w:r>
        <w:t xml:space="preserve"> </w:t>
      </w:r>
      <w:proofErr w:type="spellStart"/>
      <w:r>
        <w:t>upcasting</w:t>
      </w:r>
      <w:proofErr w:type="spellEnd"/>
      <w:r>
        <w:t>:</w:t>
      </w:r>
    </w:p>
    <w:p w14:paraId="6897D4EC" w14:textId="77777777" w:rsidR="008D55B0" w:rsidRPr="008D55B0" w:rsidRDefault="008D55B0" w:rsidP="008D55B0">
      <w:pPr>
        <w:pStyle w:val="ListParagraph"/>
        <w:numPr>
          <w:ilvl w:val="1"/>
          <w:numId w:val="2"/>
        </w:numPr>
        <w:spacing w:before="120" w:after="120" w:line="240" w:lineRule="auto"/>
        <w:rPr>
          <w:lang w:val="en-GB"/>
        </w:rPr>
      </w:pPr>
      <w:r w:rsidRPr="008D55B0">
        <w:rPr>
          <w:lang w:val="en-US"/>
        </w:rPr>
        <w:t>Ensure functional consistency of the subclass-specific data to the changes affected via the upcasted reference.</w:t>
      </w:r>
    </w:p>
    <w:p w14:paraId="23D063A9" w14:textId="77777777" w:rsidR="008D55B0" w:rsidRDefault="008D55B0" w:rsidP="008D55B0">
      <w:pPr>
        <w:pStyle w:val="ListParagraph"/>
        <w:numPr>
          <w:ilvl w:val="0"/>
          <w:numId w:val="2"/>
        </w:numPr>
        <w:spacing w:after="200" w:line="276" w:lineRule="auto"/>
        <w:rPr>
          <w:lang w:val="en-US"/>
        </w:rPr>
      </w:pPr>
      <w:r w:rsidRPr="008D55B0">
        <w:rPr>
          <w:lang w:val="en-US"/>
        </w:rPr>
        <w:t>Make sure that you hand</w:t>
      </w:r>
      <w:r>
        <w:rPr>
          <w:lang w:val="en-US"/>
        </w:rPr>
        <w:t>le the handle the default case in type select statements.</w:t>
      </w:r>
    </w:p>
    <w:p w14:paraId="0C8C22E3" w14:textId="77777777" w:rsidR="003A13EA" w:rsidRDefault="008D55B0" w:rsidP="008D55B0">
      <w:pPr>
        <w:pStyle w:val="List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lang w:val="en-US"/>
        </w:rPr>
        <w:t>Always handle the more specific classes first in type select statements.</w:t>
      </w:r>
    </w:p>
    <w:bookmarkEnd w:id="3"/>
    <w:p w14:paraId="772325CB" w14:textId="77777777" w:rsidR="008D55B0" w:rsidRPr="008D55B0" w:rsidRDefault="008D55B0" w:rsidP="0062110F">
      <w:pPr>
        <w:pStyle w:val="ListParagraph"/>
        <w:spacing w:after="200" w:line="276" w:lineRule="auto"/>
        <w:rPr>
          <w:lang w:val="en-US"/>
        </w:rPr>
      </w:pPr>
    </w:p>
    <w:p w14:paraId="1A6DD9F4" w14:textId="77777777" w:rsidR="00724127" w:rsidRPr="008D55B0" w:rsidRDefault="00724127">
      <w:pPr>
        <w:rPr>
          <w:lang w:val="en-US"/>
        </w:rPr>
      </w:pPr>
    </w:p>
    <w:sectPr w:rsidR="00724127" w:rsidRPr="008D55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A6EBC"/>
    <w:multiLevelType w:val="hybridMultilevel"/>
    <w:tmpl w:val="D3D89F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26523E"/>
    <w:multiLevelType w:val="hybridMultilevel"/>
    <w:tmpl w:val="8572F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2000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EA"/>
    <w:rsid w:val="003A13EA"/>
    <w:rsid w:val="0062110F"/>
    <w:rsid w:val="00724127"/>
    <w:rsid w:val="008D55B0"/>
    <w:rsid w:val="00C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C2EA"/>
  <w15:chartTrackingRefBased/>
  <w15:docId w15:val="{20BD590B-8068-48A8-9F46-12724166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68E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Stephen Michell</cp:lastModifiedBy>
  <cp:revision>2</cp:revision>
  <cp:lastPrinted>2020-02-26T00:35:00Z</cp:lastPrinted>
  <dcterms:created xsi:type="dcterms:W3CDTF">2020-02-25T16:10:00Z</dcterms:created>
  <dcterms:modified xsi:type="dcterms:W3CDTF">2020-02-28T21:27:00Z</dcterms:modified>
</cp:coreProperties>
</file>